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 xml:space="preserve">Barlinek Inwestycje Sp. </w:t>
      </w:r>
      <w:proofErr w:type="spellStart"/>
      <w:r w:rsidRPr="004D4ABB">
        <w:rPr>
          <w:rFonts w:asciiTheme="minorHAnsi" w:hAnsiTheme="minorHAnsi" w:cs="Arial"/>
          <w:b/>
          <w:sz w:val="20"/>
          <w:szCs w:val="20"/>
        </w:rPr>
        <w:t>z.o.o</w:t>
      </w:r>
      <w:proofErr w:type="spellEnd"/>
      <w:r w:rsidRPr="004D4ABB">
        <w:rPr>
          <w:rFonts w:asciiTheme="minorHAnsi" w:hAnsiTheme="minorHAnsi" w:cs="Arial"/>
          <w:b/>
          <w:sz w:val="20"/>
          <w:szCs w:val="20"/>
        </w:rPr>
        <w:t>.</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4D4ABB">
        <w:rPr>
          <w:rFonts w:ascii="Calibri" w:hAnsi="Calibri"/>
          <w:sz w:val="20"/>
          <w:szCs w:val="20"/>
        </w:rPr>
        <w:t>8</w:t>
      </w:r>
      <w:r w:rsidR="00D17AC5" w:rsidRPr="004D4ABB">
        <w:rPr>
          <w:rFonts w:ascii="Calibri" w:hAnsi="Calibri"/>
          <w:sz w:val="20"/>
          <w:szCs w:val="20"/>
        </w:rPr>
        <w:t>/</w:t>
      </w:r>
      <w:r w:rsidR="00D9705F">
        <w:rPr>
          <w:rFonts w:ascii="Calibri" w:hAnsi="Calibri"/>
          <w:sz w:val="20"/>
          <w:szCs w:val="20"/>
        </w:rPr>
        <w:t>4</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d</w:t>
      </w:r>
      <w:bookmarkStart w:id="7" w:name="_GoBack"/>
      <w:bookmarkEnd w:id="7"/>
      <w:r w:rsidR="00D17AC5" w:rsidRPr="004D4ABB">
        <w:rPr>
          <w:rFonts w:ascii="Calibri" w:hAnsi="Calibri"/>
          <w:sz w:val="20"/>
          <w:szCs w:val="20"/>
        </w:rPr>
        <w:t xml:space="preserve">otyczącą </w:t>
      </w:r>
      <w:r w:rsidR="00D9705F">
        <w:rPr>
          <w:rFonts w:ascii="Calibri" w:hAnsi="Calibri"/>
          <w:sz w:val="20"/>
          <w:szCs w:val="20"/>
        </w:rPr>
        <w:t xml:space="preserve">wykonania i </w:t>
      </w:r>
      <w:r w:rsidR="00D17AC5" w:rsidRPr="004D4ABB">
        <w:rPr>
          <w:rFonts w:ascii="Calibri" w:hAnsi="Calibri"/>
          <w:sz w:val="20"/>
          <w:szCs w:val="20"/>
        </w:rPr>
        <w:t>dostaw</w:t>
      </w:r>
      <w:r w:rsidR="00D9705F">
        <w:rPr>
          <w:rFonts w:ascii="Calibri" w:hAnsi="Calibri"/>
          <w:sz w:val="20"/>
          <w:szCs w:val="20"/>
        </w:rPr>
        <w:t>y</w:t>
      </w:r>
      <w:r w:rsidR="00D17AC5" w:rsidRPr="004D4ABB">
        <w:rPr>
          <w:rFonts w:ascii="Calibri" w:hAnsi="Calibri"/>
          <w:sz w:val="20"/>
          <w:szCs w:val="20"/>
        </w:rPr>
        <w:t xml:space="preserve">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8" w:name="_Toc14771474"/>
    </w:p>
    <w:bookmarkEnd w:id="8"/>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0A" w:rsidRDefault="006C380A">
      <w:r>
        <w:separator/>
      </w:r>
    </w:p>
  </w:endnote>
  <w:endnote w:type="continuationSeparator" w:id="0">
    <w:p w:rsidR="006C380A" w:rsidRDefault="006C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D9705F">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D9705F">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0A" w:rsidRDefault="006C380A">
      <w:r>
        <w:separator/>
      </w:r>
    </w:p>
  </w:footnote>
  <w:footnote w:type="continuationSeparator" w:id="0">
    <w:p w:rsidR="006C380A" w:rsidRDefault="006C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6C380A"/>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9705F"/>
    <w:rsid w:val="00DC13FC"/>
    <w:rsid w:val="00DD162A"/>
    <w:rsid w:val="00DD2348"/>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1193</Words>
  <Characters>7160</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4</cp:revision>
  <cp:lastPrinted>2014-11-06T08:00:00Z</cp:lastPrinted>
  <dcterms:created xsi:type="dcterms:W3CDTF">2016-04-08T06:43:00Z</dcterms:created>
  <dcterms:modified xsi:type="dcterms:W3CDTF">2017-06-05T09:06:00Z</dcterms:modified>
</cp:coreProperties>
</file>